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Effective [date], our rates will change: [summary of the change — new hourly rate, retainer level, or fee schedule].</w:t>
      </w:r>
    </w:p>
    <w:p>
      <w:pPr>
        <w:spacing w:after="240" w:line="300"/>
      </w:pPr>
      <w:r>
        <w:t xml:space="preserve">This reflects [the honest reason — senior talent, expanded capability, first adjustment since year X]. Current engagements continue at their agreed terms through [existing commitment end].</w:t>
      </w:r>
    </w:p>
    <w:p>
      <w:pPr>
        <w:spacing w:after="240" w:line="300"/>
      </w:pPr>
      <w:r>
        <w:t xml:space="preserve">We value the work we do together, and we’re glad to walk through what this means for your account — just say the word.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 Increase Letter for Agencies</dc:title>
  <dc:creator>MergeNinja</dc:creator>
  <dc:description>Announce new rates to clients with notice, context, and confidence.</dc:description>
  <cp:lastModifiedBy>Un-named</cp:lastModifiedBy>
  <cp:revision>1</cp:revision>
  <dcterms:created xsi:type="dcterms:W3CDTF">2026-07-13T02:01:29.298Z</dcterms:created>
  <dcterms:modified xsi:type="dcterms:W3CDTF">2026-07-13T02:01:29.298Z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