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Welcome to your new home. Here’s the practical information worth keeping on the fridge.</w:t>
      </w:r>
    </w:p>
    <w:p>
      <w:pPr>
        <w:spacing w:after="240" w:line="300"/>
      </w:pPr>
      <w:r>
        <w:t xml:space="preserve">Rent: due on the [1st] via [payment method]. Maintenance requests: [phone / portal / email] — for emergencies (water, heat, safety), call [emergency line] any hour. Trash, parking, and quiet hours: [summary or reference to lease].</w:t>
      </w:r>
    </w:p>
    <w:p>
      <w:pPr>
        <w:spacing w:after="240" w:line="300"/>
      </w:pPr>
      <w:r>
        <w:t xml:space="preserve">We want this to be a good place to live. If something isn’t right, tell us early — small problems fix cheaper than big ones.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Tenant Welcome Letter</dc:title>
  <dc:creator>MergeNinja</dc:creator>
  <dc:description>Move-in essentials: payment details, maintenance contacts, and house rules — per tenant.</dc:description>
  <cp:lastModifiedBy>Un-named</cp:lastModifiedBy>
  <cp:revision>1</cp:revision>
  <dcterms:created xsi:type="dcterms:W3CDTF">2026-07-13T02:01:29.278Z</dcterms:created>
  <dcterms:modified xsi:type="dcterms:W3CDTF">2026-07-13T02:01:29.278Z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